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июля 2008 г. N 512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МАТЕРИАЛЬНЫМ НОСИТЕЛЯМ </w:t>
      </w:r>
      <w:proofErr w:type="gramStart"/>
      <w:r>
        <w:rPr>
          <w:rFonts w:ascii="Calibri" w:hAnsi="Calibri" w:cs="Calibri"/>
          <w:b/>
          <w:bCs/>
        </w:rPr>
        <w:t>БИОМЕТРИЧЕСКИХ</w:t>
      </w:r>
      <w:proofErr w:type="gramEnd"/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ПЕРСОНАЛЬНЫХ ДАННЫХ И ТЕХНОЛОГИЯМ ХРАНЕНИЯ ТАКИХ ДАННЫХ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 ИНФОРМАЦИОННЫХ СИСТЕМ ПЕРСОНАЛЬНЫХ ДАННЫХ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27.12.2012 N 1404)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6 месяцев со дня его официального опубликования.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июля 2008 г. N 512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ТРЕБОВАНИЯ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МАТЕРИАЛЬНЫМ НОСИТЕЛЯМ </w:t>
      </w:r>
      <w:proofErr w:type="gramStart"/>
      <w:r>
        <w:rPr>
          <w:rFonts w:ascii="Calibri" w:hAnsi="Calibri" w:cs="Calibri"/>
          <w:b/>
          <w:bCs/>
        </w:rPr>
        <w:t>БИОМЕТРИЧЕСКИХ</w:t>
      </w:r>
      <w:proofErr w:type="gramEnd"/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ПЕРСОНАЛЬНЫХ ДАННЫХ И ТЕХНОЛОГИЯМ ХРАНЕНИЯ ТАКИХ ДАННЫХ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 ИНФОРМАЦИОННЫХ СИСТЕМ ПЕРСОНАЛЬНЫХ ДАННЫХ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27.12.2012 N 1404)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Настоящие требования не распространяются на отношения, возникающие при использовании: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бумажных носителей для записи и хранения биометрических персональных данных.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Материальный носитель должен обеспечивать: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Оператор утверждает порядок передачи материальных носителей уполномоченным лицам.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</w:t>
      </w:r>
      <w:hyperlink r:id="rId6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 Российской Федерации предписано использование материального носителя определенного типа.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Оператор обязан: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учет количества экземпляров материальных носителей;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 к информации, содержащейся на материальном носителе, для уполномоченных лиц;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27.12.2012 N 1404)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сфере отношений, связанных с обработкой персональных данных.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27.12.2012 N 1404)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</w:t>
      </w:r>
      <w:r>
        <w:rPr>
          <w:rFonts w:ascii="Calibri" w:hAnsi="Calibri" w:cs="Calibri"/>
        </w:rPr>
        <w:lastRenderedPageBreak/>
        <w:t>персональных данных этого оператора.</w:t>
      </w: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984" w:rsidRDefault="00AD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984" w:rsidRDefault="00AD79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C2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7984"/>
    <w:rsid w:val="00200B01"/>
    <w:rsid w:val="00AD7984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A046448A067ACA60F0E8F82CFE630D497E19E72ACCEE6DAS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053AB3E360C7478163D0DC4E8CDC236D4B09644DA767ACA60F0E8F82CFE630D497E19E72ACCEEEDAS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53AB3E360C7478163D0DC4E8CDC236D4C0E614DA667ACA60F0E8F82CFE630D497E19E72ACCEEDDAS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053AB3E360C7478163D0DC4E8CDC236D4B09644DA767ACA60F0E8F82CFE630D497E19E72ACCEEEDASE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B053AB3E360C7478163D0DC4E8CDC236D4B09644DA767ACA60F0E8F82CFE630D497E19E72ACCEEEDASEH" TargetMode="External"/><Relationship Id="rId9" Type="http://schemas.openxmlformats.org/officeDocument/2006/relationships/hyperlink" Target="consultantplus://offline/ref=3B053AB3E360C7478163D0DC4E8CDC236D4B09644DA767ACA60F0E8F82CFE630D497E19E72ACCEEEDA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2014-03-26T07:18:00Z</dcterms:created>
  <dcterms:modified xsi:type="dcterms:W3CDTF">2014-03-26T07:18:00Z</dcterms:modified>
</cp:coreProperties>
</file>