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22 октября 2007 г. N 10380</w:t>
      </w:r>
    </w:p>
    <w:p w:rsidR="00673BC2" w:rsidRDefault="00673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2007 г. N 113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СЕТИ СВЯЗИ ОБЩЕГО ПОЛЬЗОВАНИЯ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2 статьи 12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3067; N 45, ст. 4377; 2005, N 19, ст. 1752; 2006, N 6, ст. 636;</w:t>
      </w:r>
      <w:proofErr w:type="gramEnd"/>
      <w:r>
        <w:rPr>
          <w:rFonts w:ascii="Calibri" w:hAnsi="Calibri" w:cs="Calibri"/>
        </w:rPr>
        <w:t xml:space="preserve"> N 10, ст. 1069; N 31 (часть I), ст. 3431, ст. 3452; 2007, N 1, ст. 8; N 7, ст. 835) приказываю: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организационно-техническому обеспечению устойчивого функционирования сети связи общего пользования.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2007 г. N 113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ТРЕБОВАНИЯ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СЕТИ СВЯЗИ ОБЩЕГО ПОЛЬЗОВАНИЯ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распространяются на сети электросвязи, входящие в состав сети связи общего пользования (кроме сетей связи для распространения программ телевизионного вещания и радиовещания).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Организационно-техническое обеспечение устойчивого функционирования сети связи общего пользования представляет собой совокупность требований и мероприятий, направленных на поддержание: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целостности сети связи общего пользования как способности взаимодействия входящих в ее состав сетей связи, при котором становится возможным установление соединения и (или) передача информации между пользователями услугами связи;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устойчивости сети связи общего пользования как ее способности сохранять свою целостность в условиях эксплуатации, соответствующих установленным в документации производителя, при отказе части элементов сети связи и возвращаться в исходное состояние </w:t>
      </w:r>
      <w:r>
        <w:rPr>
          <w:rFonts w:ascii="Calibri" w:hAnsi="Calibri" w:cs="Calibri"/>
        </w:rPr>
        <w:lastRenderedPageBreak/>
        <w:t>(надежность сети связи), а также в условиях внешних дестабилизирующих воздействий природного и техногенного характера (живучесть сети связи).</w:t>
      </w:r>
      <w:proofErr w:type="gramEnd"/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Целостность сети связи общего пользования обеспечивается: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соответствием сети связи техническим нормам на показатели ее функционирования;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совместимостью протоколов взаимодействия (функциональной совместимостью) и совместимостью электрических и (или) оптических интерфейсов (физической совместимостью)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 том числе пользовательского (оконечного) оборудования с узлом связи;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единством измерений в сети связи.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Показатели функционирования сетей связи должны соответствовать техническим нормам, приведенным в </w:t>
      </w:r>
      <w:hyperlink w:anchor="Par71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7" w:history="1">
        <w:r>
          <w:rPr>
            <w:rFonts w:ascii="Calibri" w:hAnsi="Calibri" w:cs="Calibri"/>
            <w:color w:val="0000FF"/>
          </w:rPr>
          <w:t>3 приложения N 1</w:t>
        </w:r>
      </w:hyperlink>
      <w:r>
        <w:rPr>
          <w:rFonts w:ascii="Calibri" w:hAnsi="Calibri" w:cs="Calibri"/>
        </w:rPr>
        <w:t xml:space="preserve"> к настоящим Требованиям. Нормы на показатели функционирования сетей связи используются при проектировании сети связи и подлежат контролю со стороны оператора связи в процессе эксплуатации сети связи.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Функциональная и физическая совместимость обеспечивается выполнением требований, устанавливаемых в правилах применения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 Копии документов, подтверждающих соответствие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используемых в сети связи, установленным требованиям, должны храниться оператором связи в течение всего срока эксплуатации этих средств связи.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составе протоколов взаимодействия сетей междугородной и международной телефонной связи, а также сетей зоновой телефонной связи должны содержаться протоколы системы сигнализации по общему каналу сигнализации N 7.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Единство измерений обеспечивается выполнением требований к точности измерений параметров функционирования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устанавливаемых в правилах применения средств связи и эксплуатационной документации производителей средств связи, а также применением поверенных (калиброванных) средств измерений, обеспечивающих измерение параметров с требуемой точностью.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Живучесть сети связи обеспечивается выполнением: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требований к построению сетей связи при их проектировании;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мероприятий гражданской обороны, устанавливаемых законодательством Российской Федерации в области гражданской обороны.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Надежность сети связи обеспечивается: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разработкой мер при проектировании сети связи, направленных на выполнение требований к показателям надежности этой сети связи;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соблюдением условий эксплуатации, установленных в документации производителя;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контролем за показателями нагрузки и анализом технических неисправностей в сети связи для определения </w:t>
      </w:r>
      <w:proofErr w:type="gramStart"/>
      <w:r>
        <w:rPr>
          <w:rFonts w:ascii="Calibri" w:hAnsi="Calibri" w:cs="Calibri"/>
        </w:rPr>
        <w:t>значений показателей надежности сети связи</w:t>
      </w:r>
      <w:proofErr w:type="gramEnd"/>
      <w:r>
        <w:rPr>
          <w:rFonts w:ascii="Calibri" w:hAnsi="Calibri" w:cs="Calibri"/>
        </w:rPr>
        <w:t xml:space="preserve"> в процессе ее эксплуатации (эксплуатационные значения показателей надежности сети связи).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Расчетные значения показателей надежности сети связи, определяемые при проектировании сети связи, и эксплуатационные значения показателей надежности сети связи должны соответствовать техническим нормам на показатели надежности сетей связи, приведенным в </w:t>
      </w:r>
      <w:hyperlink w:anchor="Par1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Приложение N 1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организационно-техническому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обеспечению </w:t>
      </w:r>
      <w:proofErr w:type="gramStart"/>
      <w:r>
        <w:rPr>
          <w:rFonts w:ascii="Calibri" w:hAnsi="Calibri" w:cs="Calibri"/>
        </w:rPr>
        <w:t>устойчивого</w:t>
      </w:r>
      <w:proofErr w:type="gramEnd"/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функционирования сети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НОРМЫ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ПОКАЗАТЕЛИ ФУНКЦИОНИРОВАНИЯ СЕТЕЙ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lastRenderedPageBreak/>
        <w:t>Таблица N 1. Технические нормы на показатели функционирования сетей телефонной сети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┌────┬─────────────────────────────────────────────────────────┬───────────────┐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N  │                 Наименование показателя                 │  Норма (в час │</w:t>
      </w:r>
      <w:proofErr w:type="gramEnd"/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                   │   наибольшей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 │   нагрузки)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                2                            │       3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   Доля   несостоявшихся   вызовов   </w:t>
      </w:r>
      <w:proofErr w:type="gramStart"/>
      <w:r>
        <w:rPr>
          <w:rFonts w:ascii="Courier New" w:hAnsi="Courier New" w:cs="Courier New"/>
          <w:sz w:val="18"/>
          <w:szCs w:val="18"/>
        </w:rPr>
        <w:t>из-за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технических│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│неисправностей  или  перегрузки  сети   </w:t>
      </w:r>
      <w:proofErr w:type="gramStart"/>
      <w:r>
        <w:rPr>
          <w:rFonts w:ascii="Courier New" w:hAnsi="Courier New" w:cs="Courier New"/>
          <w:sz w:val="18"/>
          <w:szCs w:val="18"/>
        </w:rPr>
        <w:t>связи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в   общем│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│количестве   попыток   вызовов   (потери   вызовов)  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соединений:                                 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местной телефонной связи;                      │  не более 2%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зоновой телефонной связи;                      │  не более 2%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 сети  междугородной  и   международной   телефонной│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│связи;                                                   │  не более 2%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подвижной связи;                               │  не более 5%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с  узлом  обеспечения  вызова  </w:t>
      </w:r>
      <w:proofErr w:type="gramStart"/>
      <w:r>
        <w:rPr>
          <w:rFonts w:ascii="Courier New" w:hAnsi="Courier New" w:cs="Courier New"/>
          <w:sz w:val="18"/>
          <w:szCs w:val="18"/>
        </w:rPr>
        <w:t>экстренных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оперативных│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│служб                                                    │ не более 0,1%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│   Время  с  начала   передачи   информации   о   занятии│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│абонентской линии до момента  получения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│(оконечным) оборудованием от оконечного узла  связи  сети│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│местной телефонной  связи  сигнала  готовности  к  приему│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│номера (время отклика узла связи)                        │  не более 2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│   Время с момента,  когда  пользовательское  (оконечное)│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 вызывающего   абонента   или   пользователя│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│услугой связи передало всю  информацию,  необходимую 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│установления   соединения,   до   момента,   когда    это│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получило от узла связи  сигнал  о  состоянии│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│пользовательского (оконечного)  оборудования  вызываемого│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│абонента   или   пользователя   услугой   связи    (время│               │</w:t>
      </w:r>
      <w:proofErr w:type="gramEnd"/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│установления соединения):                                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местной телефонной связи;                      │ не более 6,6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зоновой телефонной связи;                      │ не более 2,7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междугородной и международной телефонной связи │ не более 5,4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4. │   Время    с    момента    получения  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│(оконечным)  оборудованием   вызывающего   абонента   или│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│пользователя услугой связи от  узла  связи  сети  местной│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│телефонной    связи    информации    об     ответе    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│пользовательского (оконечного)  оборудования  вызываемого│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│абонента  или  пользователя  услугой  связи  до   момента│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│установления    соединения     между   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│(оконечным)  оборудованием  </w:t>
      </w:r>
      <w:proofErr w:type="gramStart"/>
      <w:r>
        <w:rPr>
          <w:rFonts w:ascii="Courier New" w:hAnsi="Courier New" w:cs="Courier New"/>
          <w:sz w:val="18"/>
          <w:szCs w:val="18"/>
        </w:rPr>
        <w:t>вызывающего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и   вызываемого│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│абонента   или   пользователя   услугой   связи    (время│               │</w:t>
      </w:r>
      <w:proofErr w:type="gramEnd"/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│выполнения соединения):                                  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местной телефонной связи;                      │ не более 1,5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зоновой телефонной связи;                     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междугородной и международной телефонной связи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   Время с момента,  когда  пользовательское  (оконечное)│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 абонента  или  пользователя  услугой  связи│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│начало передавать  узлу  связи  сети  местной  телефонной│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│связи  информацию,  необходимую  для   разъединения,  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│момента, когда это  оборудование  переходит  в  состояние│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│готовности  к  установлению  нового   соединения   (время│               │</w:t>
      </w:r>
      <w:proofErr w:type="gramEnd"/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│разъединения)                                           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└────┴─────────────────────────────────────────────────────────┴───────────────┘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Вероятность превышения значений, указанных в строках 2 - 5, не должна превышать 0,05.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35"/>
      <w:bookmarkEnd w:id="5"/>
      <w:r>
        <w:rPr>
          <w:rFonts w:ascii="Calibri" w:hAnsi="Calibri" w:cs="Calibri"/>
        </w:rPr>
        <w:t>Таблица N 2. Технические нормы на показатели функционирования телеграфной сети связи (включая сеть "Телекс")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┌────┬────────────────────────────────────────────────────────┬────────────────┐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N  │                Наименование показателя                 │  Норма (в час  │</w:t>
      </w:r>
      <w:proofErr w:type="gramEnd"/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                  │   наибольшей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нагрузки)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│Время отклика узла связи сети Телекс                    │  не более 2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 │Время установления соединения в сети Телекс             │ не более 20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3. │Время разъединения в сети Телекс                        │  не более 4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│Потери вызовов (сеть Телекс)                            │  не более 2%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│Вероятность искажения телеграфных сообщений по знакам   │    не более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         -3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 2,5 x 10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└────┴────────────────────────────────────────────────────────┴────────────────┘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  <w:sectPr w:rsidR="00673BC2" w:rsidSect="002D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Вероятность превышения значений, указанных в строках 1 - 3, не должна превышать 0,05.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6" w:name="Par157"/>
      <w:bookmarkEnd w:id="6"/>
      <w:r>
        <w:rPr>
          <w:rFonts w:ascii="Calibri" w:hAnsi="Calibri" w:cs="Calibri"/>
        </w:rPr>
        <w:t>Таблица N 3. Технические нормы на показатели функционирования сетей передачи данных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Наименование показателя   │                         Тип передаваемого трафика        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├─────────────┬──────────────┬──────────────┬─────────────┬─────────────────┤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│интерактивный│</w:t>
      </w:r>
      <w:proofErr w:type="gramStart"/>
      <w:r>
        <w:rPr>
          <w:rFonts w:ascii="Courier New" w:hAnsi="Courier New" w:cs="Courier New"/>
          <w:sz w:val="20"/>
          <w:szCs w:val="20"/>
        </w:rPr>
        <w:t>интерактивный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сигнальный  │  потоковый  │ трафик передачи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│             │     при      │              │             │   данных,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│             │   исключением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спутниковой  │              │             │ интерактивного,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│             │ линии связи  │              │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сигнального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             │              │             │   потокового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             │              │             │     трафика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2              │      3      │      4       │      5       │      6      │        7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│Средняя задержка передачи   │             │              │              │             │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│пакетов информации (мс)     │не более 100 │ не более 400 │ не более 100 │не более 400 │  не более 1000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│Отклонение от среднего      │             │              │              │             │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│значения задержки передачи  │             │              │              │             │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│пакетов информации (мс)     │ не более 50 │ не более 50  │      -       │ не более 50 │        -    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│Коэффициент потери пакетов  │           -3│           -3 │           -3 │           -3│             -3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           │не более 10  │не более 10   │не более 10   │не более 10  │  не более 10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│Коэффициент ошибок в пакетах│           -4│           -4 │           -4 │           -4│             -4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           │не более 10  │не более 10   │не более 10   │не более 10  │  не более 10    │</w:t>
      </w:r>
    </w:p>
    <w:p w:rsidR="00673BC2" w:rsidRDefault="00673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┴─────────────┴──────────────┴──────────────┴─────────────┴─────────────────┘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Интерактивный трафик - тип трафика, для которого характерно непосредственное взаимодействие (диалог) пользователей услугой связи или пользовательского (оконечного) оборудования. Потоковый трафик - тип трафика, для которого характерен просмотр и (или) прослушивание информации по мере ее поступления в пользовательское (оконечное) оборудование.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92"/>
      <w:bookmarkEnd w:id="7"/>
      <w:r>
        <w:rPr>
          <w:rFonts w:ascii="Calibri" w:hAnsi="Calibri" w:cs="Calibri"/>
        </w:rPr>
        <w:t>Приложение N 2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организационно-техническому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обеспечению </w:t>
      </w:r>
      <w:proofErr w:type="gramStart"/>
      <w:r>
        <w:rPr>
          <w:rFonts w:ascii="Calibri" w:hAnsi="Calibri" w:cs="Calibri"/>
        </w:rPr>
        <w:t>устойчивого</w:t>
      </w:r>
      <w:proofErr w:type="gramEnd"/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функционирования сети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8" w:name="Par199"/>
      <w:bookmarkEnd w:id="8"/>
      <w:r>
        <w:rPr>
          <w:rFonts w:ascii="Calibri" w:hAnsi="Calibri" w:cs="Calibri"/>
        </w:rPr>
        <w:t>Таблица. Технические нормы на показатели надежности сетей связи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┌────┬──────────────────────────────────────┬──────────────┬───────────────────┐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    Тип сети электросвязи         │ Наименование │       Норма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│  показателя  │  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      2                   │      3       │         4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   Сеть </w:t>
      </w:r>
      <w:proofErr w:type="gramStart"/>
      <w:r>
        <w:rPr>
          <w:rFonts w:ascii="Courier New" w:hAnsi="Courier New" w:cs="Courier New"/>
          <w:sz w:val="18"/>
          <w:szCs w:val="18"/>
        </w:rPr>
        <w:t>междугородной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международной│ Коэффициент  │  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│телефонной связи                      │  готовности  │  не менее 0,999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(К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)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 │   Сеть зоновой телефонной связи      │      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не менее 0,9995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│   Сеть местной телефонной связи      │              │  не менее 0,9999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│   Телеграфная  сеть  связи   и   сеть│              │                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│Телекс                                │              │  не менее 0,9999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   Сеть передачи данных               │              │   не менее 0,99   │</w:t>
      </w:r>
    </w:p>
    <w:p w:rsidR="00673BC2" w:rsidRDefault="00673B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└────┴──────────────────────────────────────┴──────────────┴───────────────────┘</w:t>
      </w: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BC2" w:rsidRDefault="00673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3BC2"/>
    <w:rsid w:val="00200B01"/>
    <w:rsid w:val="00673BC2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BE05C28DAE8CC3AA1F1110C77827DC8B5578782077C152F58E11687F9B9D50A6A9C482F9AC02FER5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2014-03-25T11:40:00Z</dcterms:created>
  <dcterms:modified xsi:type="dcterms:W3CDTF">2014-03-25T11:41:00Z</dcterms:modified>
</cp:coreProperties>
</file>