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AC" w:rsidRDefault="003C3A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3AAC" w:rsidRDefault="003C3AAC">
      <w:pPr>
        <w:pStyle w:val="ConsPlusNormal"/>
        <w:jc w:val="center"/>
        <w:outlineLvl w:val="0"/>
      </w:pPr>
    </w:p>
    <w:p w:rsidR="003C3AAC" w:rsidRDefault="003C3A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3AAC" w:rsidRDefault="003C3AAC">
      <w:pPr>
        <w:pStyle w:val="ConsPlusTitle"/>
        <w:jc w:val="center"/>
      </w:pPr>
    </w:p>
    <w:p w:rsidR="003C3AAC" w:rsidRDefault="003C3AAC">
      <w:pPr>
        <w:pStyle w:val="ConsPlusTitle"/>
        <w:jc w:val="center"/>
      </w:pPr>
      <w:r>
        <w:t>ПОСТАНОВЛЕНИЕ</w:t>
      </w:r>
    </w:p>
    <w:p w:rsidR="003C3AAC" w:rsidRDefault="003C3AAC">
      <w:pPr>
        <w:pStyle w:val="ConsPlusTitle"/>
        <w:jc w:val="center"/>
      </w:pPr>
      <w:r>
        <w:t>от 25 июня 2009 г. N 532</w:t>
      </w:r>
    </w:p>
    <w:p w:rsidR="003C3AAC" w:rsidRDefault="003C3AAC">
      <w:pPr>
        <w:pStyle w:val="ConsPlusTitle"/>
        <w:jc w:val="center"/>
      </w:pPr>
    </w:p>
    <w:p w:rsidR="003C3AAC" w:rsidRDefault="003C3AAC">
      <w:pPr>
        <w:pStyle w:val="ConsPlusTitle"/>
        <w:jc w:val="center"/>
      </w:pPr>
      <w:r>
        <w:t>ОБ УТВЕРЖДЕНИИ ПЕРЕЧНЯ</w:t>
      </w:r>
    </w:p>
    <w:p w:rsidR="003C3AAC" w:rsidRDefault="003C3AAC">
      <w:pPr>
        <w:pStyle w:val="ConsPlusTitle"/>
        <w:jc w:val="center"/>
      </w:pPr>
      <w:r>
        <w:t>СРЕДСТВ СВЯЗИ, ПОДЛЕЖАЩИХ ОБЯЗАТЕЛЬНОЙ СЕРТИФИКАЦИИ</w:t>
      </w:r>
    </w:p>
    <w:p w:rsidR="003C3AAC" w:rsidRDefault="003C3A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C3A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3AAC" w:rsidRDefault="003C3A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3AAC" w:rsidRDefault="003C3A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28.01.2015 N 64)</w:t>
            </w:r>
          </w:p>
        </w:tc>
      </w:tr>
    </w:tbl>
    <w:p w:rsidR="003C3AAC" w:rsidRDefault="003C3AAC">
      <w:pPr>
        <w:pStyle w:val="ConsPlusNormal"/>
        <w:jc w:val="center"/>
      </w:pPr>
    </w:p>
    <w:p w:rsidR="003C3AAC" w:rsidRDefault="003C3AA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41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средств связи, подлежащих обязательной сертификации.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 xml:space="preserve">а) средства связи, указанные в </w:t>
      </w:r>
      <w:hyperlink w:anchor="P43" w:history="1">
        <w:r>
          <w:rPr>
            <w:color w:val="0000FF"/>
          </w:rPr>
          <w:t>перечне</w:t>
        </w:r>
      </w:hyperlink>
      <w:r>
        <w:t>, утвержденном настоящим Постановлением, подлежат обязательной сертификации, если такие средства связи используются: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в сети связи общего пользования;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в присоединяемой к сети связи общего пользования части технологической сети связи;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в сетях связи специального назначения для сопряжения сетей связи специального назначения с сетью связи общего пользования;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 xml:space="preserve">б) средства связи, подлежащие обязательной сертификации, не включаются в списки продукции, на которую распространяется действие положения, предусмотренного </w:t>
      </w:r>
      <w:hyperlink r:id="rId7" w:history="1">
        <w:r>
          <w:rPr>
            <w:color w:val="0000FF"/>
          </w:rPr>
          <w:t>абзацем первым пункта 1 статьи 29</w:t>
        </w:r>
      </w:hyperlink>
      <w:r>
        <w:t xml:space="preserve"> Федерального закона "О техническом регулировании";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в) средства связи, в отношении которых условия применения сертификатов соответствия, выданных до вступления в силу настоящего Постановления, предусматривают использование в качестве: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международных центров коммутации, допускается использовать в качестве международных телефонных станций;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транзитных междугородных узлов автоматической коммутации, допускается использовать в качестве междугородных телефонных станций;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междугородных телефонных станций, допускается использовать в качестве зоновых телефонных станций;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городских автоматических телефонных станций, абонентских цифровых концентраторов, сельских автоматических телефонных станций, допускается использовать в качестве местных телефонных станций;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 xml:space="preserve">каналообразующего оборудования плезиохронной цифровой иерархии, оборудования временного группообразования плезиохронной цифровой иерархии, оборудования кроссовой </w:t>
      </w:r>
      <w:r>
        <w:lastRenderedPageBreak/>
        <w:t>коммутации плезиохронной цифровой иерархии, оконечных и промежуточных пунктов линейного тракта плезиохронной цифровой иерархии, допускается использовать в качестве оборудования цифровых систем передачи плезиохронной цифровой иерархии;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оборудования управления и мониторинга радиорелейных систем связи, допускается использовать в качестве оборудования автоматизированных систем управления и мониторинга сетей электросвязи;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аналогово-цифровых радиорелейных систем связи, цифровых радиорелейных систем связи синхронной цифровой иерархии, цифровых радиорелейных систем связи плезиохронной цифровой иерархии, аналоговых радиорелейных систем связи, допускается использовать в качестве оборудования радиорелейной связи.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3. Сертификаты соответствия, выданные на средства связи до вступления в силу настоящего Постановления, действуют до окончания срока действия таких сертификатов.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2004 г. N 896 "Об утверждении перечня средств связи, подлежащих обязательной сертификации" (Собрание законодательства Российской Федерации, 2005, N 2, ст. 155).</w:t>
      </w:r>
    </w:p>
    <w:p w:rsidR="003C3AAC" w:rsidRDefault="003C3AAC">
      <w:pPr>
        <w:pStyle w:val="ConsPlusNormal"/>
        <w:jc w:val="right"/>
      </w:pPr>
    </w:p>
    <w:p w:rsidR="003C3AAC" w:rsidRDefault="003C3AAC">
      <w:pPr>
        <w:pStyle w:val="ConsPlusNormal"/>
        <w:jc w:val="right"/>
      </w:pPr>
      <w:r>
        <w:t>Председатель Правительства</w:t>
      </w:r>
    </w:p>
    <w:p w:rsidR="003C3AAC" w:rsidRDefault="003C3AAC">
      <w:pPr>
        <w:pStyle w:val="ConsPlusNormal"/>
        <w:jc w:val="right"/>
      </w:pPr>
      <w:r>
        <w:t>Российской Федерации</w:t>
      </w:r>
    </w:p>
    <w:p w:rsidR="003C3AAC" w:rsidRDefault="003C3AAC">
      <w:pPr>
        <w:pStyle w:val="ConsPlusNormal"/>
        <w:jc w:val="right"/>
      </w:pPr>
      <w:r>
        <w:t>В.ПУТИН</w:t>
      </w: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jc w:val="right"/>
        <w:outlineLvl w:val="0"/>
      </w:pPr>
      <w:r>
        <w:t>Утвержден</w:t>
      </w:r>
    </w:p>
    <w:p w:rsidR="003C3AAC" w:rsidRDefault="003C3AAC">
      <w:pPr>
        <w:pStyle w:val="ConsPlusNormal"/>
        <w:jc w:val="right"/>
      </w:pPr>
      <w:r>
        <w:t>Постановлением Правительства</w:t>
      </w:r>
    </w:p>
    <w:p w:rsidR="003C3AAC" w:rsidRDefault="003C3AAC">
      <w:pPr>
        <w:pStyle w:val="ConsPlusNormal"/>
        <w:jc w:val="right"/>
      </w:pPr>
      <w:r>
        <w:t>Российской Федерации</w:t>
      </w:r>
    </w:p>
    <w:p w:rsidR="003C3AAC" w:rsidRDefault="003C3AAC">
      <w:pPr>
        <w:pStyle w:val="ConsPlusNormal"/>
        <w:jc w:val="right"/>
      </w:pPr>
      <w:r>
        <w:t>от 25 июня 2009 г. N 532</w:t>
      </w: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Title"/>
        <w:jc w:val="center"/>
      </w:pPr>
      <w:bookmarkStart w:id="0" w:name="P43"/>
      <w:bookmarkEnd w:id="0"/>
      <w:r>
        <w:t>ПЕРЕЧЕНЬ</w:t>
      </w:r>
    </w:p>
    <w:p w:rsidR="003C3AAC" w:rsidRDefault="003C3AAC">
      <w:pPr>
        <w:pStyle w:val="ConsPlusTitle"/>
        <w:jc w:val="center"/>
      </w:pPr>
      <w:r>
        <w:t>СРЕДСТВ СВЯЗИ, ПОДЛЕЖАЩИХ ОБЯЗАТЕЛЬНОЙ СЕРТИФИКАЦИИ</w:t>
      </w:r>
    </w:p>
    <w:p w:rsidR="003C3AAC" w:rsidRDefault="003C3A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C3A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3AAC" w:rsidRDefault="003C3A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3AAC" w:rsidRDefault="003C3A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28.01.2015 N 64)</w:t>
            </w:r>
          </w:p>
        </w:tc>
      </w:tr>
    </w:tbl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jc w:val="center"/>
        <w:outlineLvl w:val="1"/>
      </w:pPr>
      <w:r>
        <w:t>I. Средства связи, выполняющие функции систем коммутации</w:t>
      </w: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ind w:firstLine="540"/>
        <w:jc w:val="both"/>
      </w:pPr>
      <w:r>
        <w:t>1. Оборудование, входящее в состав транзитных, оконечно-транзитных и оконечных узлов связи сети фиксированной телефонной связи: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а) международные телефонные станции;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б) междугородные телефонные станции;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в) зоновые телефонные станции;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г) местные телефонные станции;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д) комбинированные телефонные станции.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2. Учрежденческо-производственные автоматические телефонные станции.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lastRenderedPageBreak/>
        <w:t>3. Оборудование, реализующее функции коммутации и управления услугами.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4. Оборудование для оказания услуг внутризоновой, междугородной и международной телефонной связи с помощью телефониста.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5. Оборудование узлов обслуживания вызовов экстренных оперативных служб.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6. Оборудование центров обслуживания вызовов информационно-справочного обслуживания.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6(1). Оборудование центров обработки вызовов экстренных оперативных служб.</w:t>
      </w:r>
    </w:p>
    <w:p w:rsidR="003C3AAC" w:rsidRDefault="003C3AAC">
      <w:pPr>
        <w:pStyle w:val="ConsPlusNormal"/>
        <w:jc w:val="both"/>
      </w:pPr>
      <w:r>
        <w:t xml:space="preserve">(п. 6(1)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28.01.2015 N 64)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7. Оборудование телеграфной связи: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а) телеграфные станции и подстанции;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б) центры коммутации сообщений.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8. Оборудование коммутации сетей подвижной радиотелефонной связи.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9. Оборудование коммутации сетей подвижной радиосвязи.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10. Оборудование коммутации сетей подвижной спутниковой радиосвязи.</w:t>
      </w: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jc w:val="center"/>
        <w:outlineLvl w:val="1"/>
      </w:pPr>
      <w:r>
        <w:t>II. Средства связи, выполняющие функции</w:t>
      </w:r>
    </w:p>
    <w:p w:rsidR="003C3AAC" w:rsidRDefault="003C3AAC">
      <w:pPr>
        <w:pStyle w:val="ConsPlusNormal"/>
        <w:jc w:val="center"/>
      </w:pPr>
      <w:r>
        <w:t>цифровых транспортных систем</w:t>
      </w: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ind w:firstLine="540"/>
        <w:jc w:val="both"/>
      </w:pPr>
      <w:r>
        <w:t>11. Оборудование коммутации и маршрутизации пакетов информации сетей передачи данных.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12. Оборудование цифровых систем передачи синхронной цифровой иерархии.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13. Оборудование цифровых систем передачи плезиохронной цифровой иерархии.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14. Оборудование линейного тракта линий связи.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15. Оборудование с асинхронным режимом переноса информации.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16. Оборудование цифровых систем передачи телевизионного и звукового вещания.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17. Оборудование тактовой сетевой синхронизации.</w:t>
      </w: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jc w:val="center"/>
        <w:outlineLvl w:val="1"/>
      </w:pPr>
      <w:r>
        <w:t>III. Средства связи, выполняющие функции</w:t>
      </w:r>
    </w:p>
    <w:p w:rsidR="003C3AAC" w:rsidRDefault="003C3AAC">
      <w:pPr>
        <w:pStyle w:val="ConsPlusNormal"/>
        <w:jc w:val="center"/>
      </w:pPr>
      <w:r>
        <w:t>систем управления и мониторинга</w:t>
      </w: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ind w:firstLine="540"/>
        <w:jc w:val="both"/>
      </w:pPr>
      <w:r>
        <w:t>18. Оборудование автоматизированных систем управления и мониторинга сетей электросвязи.</w:t>
      </w: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jc w:val="center"/>
        <w:outlineLvl w:val="1"/>
      </w:pPr>
      <w:r>
        <w:t>IV. Оборудование, используемое для учета объема</w:t>
      </w:r>
    </w:p>
    <w:p w:rsidR="003C3AAC" w:rsidRDefault="003C3AAC">
      <w:pPr>
        <w:pStyle w:val="ConsPlusNormal"/>
        <w:jc w:val="center"/>
      </w:pPr>
      <w:r>
        <w:t>оказанных услуг связи в сетях связи общего пользования</w:t>
      </w: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ind w:firstLine="540"/>
        <w:jc w:val="both"/>
      </w:pPr>
      <w:r>
        <w:t>19. Автоматизированные системы расчетов.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20. Аппаратура повременного учета продолжительности соединения.</w:t>
      </w: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jc w:val="center"/>
        <w:outlineLvl w:val="1"/>
      </w:pPr>
      <w:r>
        <w:t>V. Радиоэлектронные средства связи</w:t>
      </w:r>
    </w:p>
    <w:p w:rsidR="003C3AAC" w:rsidRDefault="003C3AAC">
      <w:pPr>
        <w:pStyle w:val="ConsPlusNormal"/>
        <w:jc w:val="center"/>
      </w:pPr>
    </w:p>
    <w:p w:rsidR="003C3AAC" w:rsidRDefault="003C3AAC">
      <w:pPr>
        <w:pStyle w:val="ConsPlusNormal"/>
        <w:ind w:firstLine="540"/>
        <w:jc w:val="both"/>
      </w:pPr>
      <w:r>
        <w:t>21. Земные станции спутниковой связи и вещания.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22. Оборудование радиорелейной связи.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23. Базовые станции и ретрансляторы сетей подвижной радиотелефонной связи.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24. Базовые станции и ретрансляторы сетей подвижной радиосвязи.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25. Оборудование телевизионного вещания и радиовещания.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26. Базовые станции и ретрансляторы сетей радиодоступа.</w:t>
      </w: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jc w:val="center"/>
        <w:outlineLvl w:val="1"/>
      </w:pPr>
      <w:r>
        <w:t>VI. Оборудование средств связи,</w:t>
      </w:r>
    </w:p>
    <w:p w:rsidR="003C3AAC" w:rsidRDefault="003C3AAC">
      <w:pPr>
        <w:pStyle w:val="ConsPlusNormal"/>
        <w:jc w:val="center"/>
      </w:pPr>
      <w:r>
        <w:t>в том числе программное обеспечение, обеспечивающее</w:t>
      </w:r>
    </w:p>
    <w:p w:rsidR="003C3AAC" w:rsidRDefault="003C3AAC">
      <w:pPr>
        <w:pStyle w:val="ConsPlusNormal"/>
        <w:jc w:val="center"/>
      </w:pPr>
      <w:r>
        <w:t>выполнение установленных действий при проведении</w:t>
      </w:r>
    </w:p>
    <w:p w:rsidR="003C3AAC" w:rsidRDefault="003C3AAC">
      <w:pPr>
        <w:pStyle w:val="ConsPlusNormal"/>
        <w:jc w:val="center"/>
      </w:pPr>
      <w:r>
        <w:t>оперативно-разыскных мероприятий</w:t>
      </w: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ind w:firstLine="540"/>
        <w:jc w:val="both"/>
      </w:pPr>
      <w:r>
        <w:t>27. Оборудование систем коммутации, включая программное обеспечение, обеспечивающее выполнение установленных действий при проведении оперативно-разыскных мероприятий.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28.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оперативно-разыскных мероприятий.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29.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оперативно-разыскных мероприятий.</w:t>
      </w: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jc w:val="center"/>
        <w:outlineLvl w:val="1"/>
      </w:pPr>
      <w:r>
        <w:t>VII. Оконечное оборудование, которое может привести</w:t>
      </w:r>
    </w:p>
    <w:p w:rsidR="003C3AAC" w:rsidRDefault="003C3AAC">
      <w:pPr>
        <w:pStyle w:val="ConsPlusNormal"/>
        <w:jc w:val="center"/>
      </w:pPr>
      <w:r>
        <w:t>к нарушению функционирования сети связи</w:t>
      </w:r>
    </w:p>
    <w:p w:rsidR="003C3AAC" w:rsidRDefault="003C3AAC">
      <w:pPr>
        <w:pStyle w:val="ConsPlusNormal"/>
        <w:jc w:val="center"/>
      </w:pPr>
      <w:r>
        <w:t>общего пользования &lt;*&gt;</w:t>
      </w: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ind w:firstLine="540"/>
        <w:jc w:val="both"/>
      </w:pPr>
      <w:r>
        <w:t>--------------------------------</w:t>
      </w:r>
    </w:p>
    <w:p w:rsidR="003C3AAC" w:rsidRDefault="003C3AAC">
      <w:pPr>
        <w:pStyle w:val="ConsPlusNormal"/>
        <w:spacing w:before="220"/>
        <w:ind w:firstLine="540"/>
        <w:jc w:val="both"/>
      </w:pPr>
      <w:r>
        <w:t>&lt;*&gt; Пункты могут быть введены дополнительно при появлении указанного оборудования.</w:t>
      </w: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ind w:firstLine="540"/>
        <w:jc w:val="both"/>
      </w:pPr>
    </w:p>
    <w:p w:rsidR="003C3AAC" w:rsidRDefault="003C3A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47F" w:rsidRDefault="00AF247F"/>
    <w:sectPr w:rsidR="00AF247F" w:rsidSect="00D7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3C3AAC"/>
    <w:rsid w:val="00031718"/>
    <w:rsid w:val="001A2E29"/>
    <w:rsid w:val="003C3AAC"/>
    <w:rsid w:val="009C2C53"/>
    <w:rsid w:val="00A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6A1941897D303D5FAA9DE416F7C4131ECA1332AE06ADCF4CDDAACEB64728FAE833818C2329CFF64BA2880I9x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36A1941897D303D5FAA9DE416F7C4136EFA13121E237D6FC94D6AEEC6B2D8AA992381BC52C9FFA79B37CD0D5D20831D51539552D2174EAIAx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6A1941897D303D5FAA9DE416F7C4137ECA43A27E837D6FC94D6AEEC6B2D8AA992381BC52C98F87FB37CD0D5D20831D51539552D2174EAIAxA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A36A1941897D303D5FAA9DE416F7C4135EAA43521E337D6FC94D6AEEC6B2D8AA992381BC52C9CFE78B37CD0D5D20831D51539552D2174EAIAxAI" TargetMode="External"/><Relationship Id="rId10" Type="http://schemas.openxmlformats.org/officeDocument/2006/relationships/hyperlink" Target="consultantplus://offline/ref=FA36A1941897D303D5FAA9DE416F7C4135EAA43521E337D6FC94D6AEEC6B2D8AA992381BC52C9CFE78B37CD0D5D20831D51539552D2174EAIAx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36A1941897D303D5FAA9DE416F7C4135EAA43521E337D6FC94D6AEEC6B2D8AA992381BC52C9CFE78B37CD0D5D20831D51539552D2174EAIA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6755</Characters>
  <Application>Microsoft Office Word</Application>
  <DocSecurity>0</DocSecurity>
  <Lines>56</Lines>
  <Paragraphs>15</Paragraphs>
  <ScaleCrop>false</ScaleCrop>
  <Company>Управление Роскомнадзора по СКФО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derevleva</dc:creator>
  <cp:keywords/>
  <dc:description/>
  <cp:lastModifiedBy>derevleva</cp:lastModifiedBy>
  <cp:revision>1</cp:revision>
  <dcterms:created xsi:type="dcterms:W3CDTF">2019-03-27T08:49:00Z</dcterms:created>
  <dcterms:modified xsi:type="dcterms:W3CDTF">2019-03-27T08:49:00Z</dcterms:modified>
</cp:coreProperties>
</file>