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5" w:rsidRDefault="001368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815" w:rsidRDefault="00136815">
      <w:pPr>
        <w:pStyle w:val="ConsPlusNormal"/>
        <w:jc w:val="both"/>
        <w:outlineLvl w:val="0"/>
      </w:pPr>
    </w:p>
    <w:p w:rsidR="00136815" w:rsidRDefault="00136815">
      <w:pPr>
        <w:pStyle w:val="ConsPlusNormal"/>
        <w:outlineLvl w:val="0"/>
      </w:pPr>
      <w:r>
        <w:t>Зарегистрировано в Минюсте России 27 ноября 2015 г. N 39874</w:t>
      </w:r>
    </w:p>
    <w:p w:rsidR="00136815" w:rsidRDefault="0013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Title"/>
        <w:jc w:val="center"/>
      </w:pPr>
      <w:r>
        <w:t>МИНИСТЕРСТВО СВЯЗИ И МАССОВЫХ КОММУНИКАЦИЙ</w:t>
      </w:r>
    </w:p>
    <w:p w:rsidR="00136815" w:rsidRDefault="00136815">
      <w:pPr>
        <w:pStyle w:val="ConsPlusTitle"/>
        <w:jc w:val="center"/>
      </w:pPr>
      <w:r>
        <w:t>РОССИЙСКОЙ ФЕДЕРАЦИИ</w:t>
      </w:r>
    </w:p>
    <w:p w:rsidR="00136815" w:rsidRDefault="00136815">
      <w:pPr>
        <w:pStyle w:val="ConsPlusTitle"/>
        <w:jc w:val="center"/>
      </w:pPr>
    </w:p>
    <w:p w:rsidR="00136815" w:rsidRDefault="00136815">
      <w:pPr>
        <w:pStyle w:val="ConsPlusTitle"/>
        <w:jc w:val="center"/>
      </w:pPr>
      <w:r>
        <w:t>ПРИКАЗ</w:t>
      </w:r>
    </w:p>
    <w:p w:rsidR="00136815" w:rsidRDefault="00136815">
      <w:pPr>
        <w:pStyle w:val="ConsPlusTitle"/>
        <w:jc w:val="center"/>
      </w:pPr>
      <w:r>
        <w:t>от 30 сентября 2015 г. N 371</w:t>
      </w:r>
    </w:p>
    <w:p w:rsidR="00136815" w:rsidRDefault="00136815">
      <w:pPr>
        <w:pStyle w:val="ConsPlusTitle"/>
        <w:jc w:val="center"/>
      </w:pPr>
    </w:p>
    <w:p w:rsidR="00136815" w:rsidRDefault="00136815">
      <w:pPr>
        <w:pStyle w:val="ConsPlusTitle"/>
        <w:jc w:val="center"/>
      </w:pPr>
      <w:r>
        <w:t>ОБ УТВЕРЖДЕНИИ ТРЕБОВАНИЙ</w:t>
      </w:r>
    </w:p>
    <w:p w:rsidR="00136815" w:rsidRDefault="00136815">
      <w:pPr>
        <w:pStyle w:val="ConsPlusTitle"/>
        <w:jc w:val="center"/>
      </w:pPr>
      <w:r>
        <w:t>К ПОСТРОЕНИЮ, УПРАВЛЕНИЮ, НУМЕРАЦИИ,</w:t>
      </w:r>
    </w:p>
    <w:p w:rsidR="00136815" w:rsidRDefault="00136815">
      <w:pPr>
        <w:pStyle w:val="ConsPlusTitle"/>
        <w:jc w:val="center"/>
      </w:pPr>
      <w:r>
        <w:t>ОРГАНИЗАЦИОННО-ТЕХНИЧЕСКОМУ ОБЕСПЕЧЕНИЮ УСТОЙЧИВОГО</w:t>
      </w:r>
    </w:p>
    <w:p w:rsidR="00136815" w:rsidRDefault="00136815">
      <w:pPr>
        <w:pStyle w:val="ConsPlusTitle"/>
        <w:jc w:val="center"/>
      </w:pPr>
      <w:r>
        <w:t>ФУНКЦИОНИРОВАНИЯ, УСЛОВИЯМ ВЗАИМОДЕЙСТВИЯ, ЭКСПЛУАТАЦИИ</w:t>
      </w:r>
    </w:p>
    <w:p w:rsidR="00136815" w:rsidRDefault="00136815">
      <w:pPr>
        <w:pStyle w:val="ConsPlusTitle"/>
        <w:jc w:val="center"/>
      </w:pPr>
      <w:r>
        <w:t>СЕТИ СВЯЗИ ПРИ ОКАЗАНИИ УНИВЕРСАЛЬНЫХ УСЛУГ СВЯЗИ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5" w:history="1">
        <w:r>
          <w:rPr>
            <w:color w:val="0000FF"/>
          </w:rPr>
          <w:t>пункта 2 статьи 12</w:t>
        </w:r>
      </w:hyperlink>
      <w:r>
        <w:t xml:space="preserve">, </w:t>
      </w:r>
      <w:hyperlink r:id="rId6" w:history="1">
        <w:r>
          <w:rPr>
            <w:color w:val="0000FF"/>
          </w:rPr>
          <w:t>пункта 3 статьи 26</w:t>
        </w:r>
      </w:hyperlink>
      <w:r>
        <w:t xml:space="preserve">, </w:t>
      </w:r>
      <w:hyperlink r:id="rId7" w:history="1">
        <w:r>
          <w:rPr>
            <w:color w:val="0000FF"/>
          </w:rPr>
          <w:t>пункта 1 статьи 46</w:t>
        </w:r>
      </w:hyperlink>
      <w:r>
        <w:t xml:space="preserve">, </w:t>
      </w:r>
      <w:hyperlink r:id="rId8" w:history="1">
        <w:r>
          <w:rPr>
            <w:color w:val="0000FF"/>
          </w:rPr>
          <w:t>главы 8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2004, N 35, ст. 3607; N 45, ст. 4377; 2006, N 10, ст. 1069; N 31 (ч. 1), ст. 3431, ст. 3452; 2007, N 1 (ч. 1), ст. 8; N 7, ст. 835; 2008, N 18, ст. 1941; 2009, N 29, ст. 3625; 2010, N 7, ст. 705; N 15, ст. 1737; N 27, ст. 3408; N 31, ст. 4190; 2011, N 7, ст. 901; N 9, ст. 1205; N 25, ст. 3535; N 27, ст. 3873, ст. 3880; N 29, ст. 4284, ст. 4291; N 30 (ч. 1), ст. 4590; N 45, ст. 6333; N 49 (ч. 5), ст. 7061; N 50, ст. 7351, ст. 7366; 2012, N 31, ст. 4322, ст. 4328; N 53 (ч. 1), ст. 7578; 2013, N 19, ст. 2326; N 27, ст. 3450; N 30 (ч. I), ст. 4062; N 43, ст. 5451; N 44, ст. 5643; N 48, ст. 6162; N 49 (ч. I), ст. 6339, ст. 6347; N 52 (ч. I), ст. 6961; 2014, N 6, ст. 560; N 14, ст. 1552; N 19, ст. 2302; N 26 (ч. I), ст. 3366, ст. 3377; N 30 (ч. I), ст. 4229, ст. 4273; 2015, N 29 (ч. I), ст. 4342, ст. 4383) и </w:t>
      </w:r>
      <w:hyperlink r:id="rId9" w:history="1">
        <w:r>
          <w:rPr>
            <w:color w:val="0000FF"/>
          </w:rPr>
          <w:t>Правил</w:t>
        </w:r>
      </w:hyperlink>
      <w:r>
        <w:t xml:space="preserve"> оказания универсальных услуг связи, утвержденных постановлением Правительства Российской Федерации от 21 апреля 2005 г. N 241 (Собрание законодательства Российской Федерации, 2005, N 17, ст. 1572; 2014, N 32, ст. 4525; N 50, ст. 7084), при оказании универсальных услуг связи приказываю:</w:t>
      </w:r>
    </w:p>
    <w:p w:rsidR="00136815" w:rsidRDefault="00136815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Утвердить:</w:t>
      </w:r>
    </w:p>
    <w:p w:rsidR="00136815" w:rsidRDefault="00136815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Требования</w:t>
        </w:r>
      </w:hyperlink>
      <w:r>
        <w:t xml:space="preserve">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 (Приложение N 1);</w:t>
      </w:r>
    </w:p>
    <w:p w:rsidR="00136815" w:rsidRDefault="00136815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Требования</w:t>
        </w:r>
      </w:hyperlink>
      <w:r>
        <w:t xml:space="preserve">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(без использования пользовательского оборудования абонента) (Приложение N 2);</w:t>
      </w:r>
    </w:p>
    <w:p w:rsidR="00136815" w:rsidRDefault="00136815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Требования</w:t>
        </w:r>
      </w:hyperlink>
      <w:r>
        <w:t xml:space="preserve">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(Приложение N 3).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2. Операторам связи при построении и эксплуатации сетей связи, предназначенных для оказания универсальных услуг связи, руководствоваться требованиями, утвержденными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06.12.2005 N 137 "Об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связи" (зарегистрирован в Министерстве юстиции Российской Федерации 13 декабря 2005 года, регистрационный N 7268).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02.11.2010 N 157 "О внесении изменений в приказ Министерства информационных технологий и связи Российской Федерации от 06.12.2005 N 137" (зарегистрирован в Министерстве юстиции Российской Федерации 1 декабря 2010 года, регистрационный N 19094).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right"/>
      </w:pPr>
      <w:r>
        <w:t>Министр</w:t>
      </w:r>
    </w:p>
    <w:p w:rsidR="00136815" w:rsidRDefault="00136815">
      <w:pPr>
        <w:pStyle w:val="ConsPlusNormal"/>
        <w:jc w:val="right"/>
      </w:pPr>
      <w:r>
        <w:t>Н.А.НИКИФОРОВ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right"/>
        <w:outlineLvl w:val="0"/>
      </w:pPr>
      <w:r>
        <w:t>Приложение N 1</w:t>
      </w:r>
    </w:p>
    <w:p w:rsidR="00136815" w:rsidRDefault="00136815">
      <w:pPr>
        <w:pStyle w:val="ConsPlusNormal"/>
        <w:jc w:val="right"/>
      </w:pPr>
      <w:r>
        <w:t>к приказу Минкомсвязи России</w:t>
      </w:r>
    </w:p>
    <w:p w:rsidR="00136815" w:rsidRDefault="00136815">
      <w:pPr>
        <w:pStyle w:val="ConsPlusNormal"/>
        <w:jc w:val="right"/>
      </w:pPr>
      <w:r>
        <w:t>от 30.09.2015 N 371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136815" w:rsidRDefault="00136815">
      <w:pPr>
        <w:pStyle w:val="ConsPlusTitle"/>
        <w:jc w:val="center"/>
      </w:pPr>
      <w:r>
        <w:t>К ПОСТРОЕНИЮ, УПРАВЛЕНИЮ, НУМЕРАЦИИ,</w:t>
      </w:r>
    </w:p>
    <w:p w:rsidR="00136815" w:rsidRDefault="00136815">
      <w:pPr>
        <w:pStyle w:val="ConsPlusTitle"/>
        <w:jc w:val="center"/>
      </w:pPr>
      <w:r>
        <w:t>ОРГАНИЗАЦИОННО-ТЕХНИЧЕСКОМУ ОБЕСПЕЧЕНИЮ УСТОЙЧИВОГО</w:t>
      </w:r>
    </w:p>
    <w:p w:rsidR="00136815" w:rsidRDefault="00136815">
      <w:pPr>
        <w:pStyle w:val="ConsPlusTitle"/>
        <w:jc w:val="center"/>
      </w:pPr>
      <w:r>
        <w:t>ФУНКЦИОНИРОВАНИЯ, УСЛОВИЯМ ВЗАИМОДЕЙСТВИЯ, ЭКСПЛУАТАЦИИ</w:t>
      </w:r>
    </w:p>
    <w:p w:rsidR="00136815" w:rsidRDefault="00136815">
      <w:pPr>
        <w:pStyle w:val="ConsPlusTitle"/>
        <w:jc w:val="center"/>
      </w:pPr>
      <w:r>
        <w:t>СЕТИ СВЯЗИ ПРИ ОКАЗАНИИ УНИВЕРСАЛЬНЫХ УСЛУГ ТЕЛЕФОННОЙ</w:t>
      </w:r>
    </w:p>
    <w:p w:rsidR="00136815" w:rsidRDefault="00136815">
      <w:pPr>
        <w:pStyle w:val="ConsPlusTitle"/>
        <w:jc w:val="center"/>
      </w:pPr>
      <w:r>
        <w:t>СВЯЗИ С ИСПОЛЬЗОВАНИЕМ ТАКСОФОНОВ, МНОГОФУНКЦИОНАЛЬНЫХ</w:t>
      </w:r>
    </w:p>
    <w:p w:rsidR="00136815" w:rsidRDefault="00136815">
      <w:pPr>
        <w:pStyle w:val="ConsPlusTitle"/>
        <w:jc w:val="center"/>
      </w:pPr>
      <w:r>
        <w:t>УСТРОЙСТВ, ИНФОРМАЦИОННЫХ КИОСКОВ (ИНФОМАТОВ)</w:t>
      </w:r>
    </w:p>
    <w:p w:rsidR="00136815" w:rsidRDefault="00136815">
      <w:pPr>
        <w:pStyle w:val="ConsPlusTitle"/>
        <w:jc w:val="center"/>
      </w:pPr>
      <w:r>
        <w:t>И АНАЛОГИЧНЫХ УСТРОЙСТВ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ind w:firstLine="540"/>
        <w:jc w:val="both"/>
      </w:pPr>
      <w:r>
        <w:t>1. Универсальные услуги телефонной связи оказываются оператором универсального обслуживания с использованием таксофонов, многофункциональных устройств, информационных киосков (инфоматов) и аналогичных устройств (далее - телефонные средства коллективного доступа).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Сеть связи включает в себя телефонные средства коллективного доступа, оборудование, используемое для учета объема оказываемых услуг связи, систему управления, мониторинга и контроля за техническим состоянием телефонных средств коллективного доступа, линии связи, соединяющие телефонные средства коллективного доступа с узлами связи сети (сетей) местной телефонной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2. Оператор универсального обслуживания устанавливает телефонные средства коллективного доступа с учетом необходимости обеспечения круглосуточного доступа к ним пользователей, включая создание условий для беспрепятственного доступа инвалидов.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3. Телефонное средство коллективного доступа, установленное вне помещения, размещается в таксофонной кабине или полукабине.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Место расположения телефонного средства коллективного доступа в пределах населенного </w:t>
      </w:r>
      <w:r>
        <w:lastRenderedPageBreak/>
        <w:t>пункта определяется оператором универсального обслуживания самостоятельно.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Место расположения телефонного средства коллективного доступа должно быть обозначено специальным информационным указателем, включающим следующие сведения: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наименование вида оказываемой универсальной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информация о способах подключения/оплаты универсальной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правила обращения с телефонным средством коллективного доступа для пользования универсальной услугой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контактная информация для получения справочно-информационной и технической поддержки;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сведения о тарифах на оказываемую универсальную услугу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4. За телефонным средством коллективного доступа закрепляется абонентский номер в соответствии с планом нумерации сети местной телефонной связи из ресурса нумерации, географически определяемой зоны нумерации. В телефонном средстве коллективного доступа допускается установка модуля радиоканала для подключения к телефонной сети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5. Телефонное средство коллективного доступа обеспечивает предоставление пользователю: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а) местных телефонных соединений для передачи голосовой информации по сети фиксированной телефонной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б) внутризоновых телефонных соединений;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в) доступа к услугам связи, оказываемым другим оператором связи в сети связи общего пользования;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г) доступа к системе информационно-справочного обслуживания;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д) возможности бесплатного круглосуточного вызова экстренных оперативных служб.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6. В качестве средств, позволяющих пользователю инициировать вызов, используются карты с интегральной микросхемой, обеспечивающие взаимодействие с модулем безопасного применения, эмитированные оператором, оказывающим универсальные услуги связи (далее - универсальные карты связи).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оплата универсальных услуг связи может осуществляться в форме наличных или безналичных расчетов (в том числе с использованием платежных карт), а также иными способами, установленными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оказания универсальных услуг связи, утвержденными постановлением Правительства Российской Федерации от 21 апреля 2005 г. N 241 (Собрание законодательства Российской Федерации, 2005, N 17, ст. 1572; 2014, N 32, ст. 4525; N 50, ст. 7084) (далее - Правила оказания универсальных услуг связи).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Телефонные средства коллективного доступа должны обеспечивать возможность инициирования вызова с использованием информации, полученной от оператора универсального обслуживания при оплате пользователем универсальных услуг связи и позволяющей произвести идентификацию пользователя в качестве плательщика непосредственно в месте оказания универсальных услуг связи (далее - код доступа к универсальным услугам связи).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Дополнительно могут быть использованы предоплаченные карты со скретч-панелью, под </w:t>
      </w:r>
      <w:r>
        <w:lastRenderedPageBreak/>
        <w:t>которой размещается код доступа к услугам связи.</w:t>
      </w:r>
    </w:p>
    <w:p w:rsidR="00136815" w:rsidRDefault="00136815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7. На универсальной карте связи должны быть указаны: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а) наименование видов универсальных услуг связи, оплачиваемых с использованием универсальной карты оплаты;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б) размер авансового платежа, внесение которого подтверждает универсальная карта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в) срок действия универсальной карты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г) контактная информация для получения справочно-информационной и технической поддержки;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д) правила пользования универсальной картой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е) идентификационный номер универсальной карты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8. Телефонное средство коллективного доступа обеспечивает возможность использования остатка денежных средств, внесение которых подтверждено универсальной картой связи с кратностью, равной одной копейке.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9. Телефонное средство коллективного доступа обеспечивает конфиденциальность и целостность передаваемой и хранимой информации, а также распознавание (аутентификацию) универсальных карт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Информация о техническом состоянии телефонного средства коллективного доступа не реже одного раза в сутки передается в систему управления, мониторинга и контроля за техническим состоянием телефонных средств коллективного доступа оператора универсального обслуживания.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10. Система управления, мониторинга и контроля за техническим состоянием телефонных средств коллективного доступа обеспечивает: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а) сбор, обработку и хранение информации: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технических параметрах установленных телефонных средств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тарифах на универсальные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об объемах оказанных универсальных услуг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б) учет универсальных карт связи, разрешенных и запрещенных к приему в телефонных средствах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в) учет и передачу в телефонные средства коллективного доступа действующих ключей аутентификации, используемых для приема универсальных карт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г) защиту от несанкционированного доступа к информации, содержащейся в системе управления, мониторинга и контроля за техническим состоянием телефонных средств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д) формирование отчетов об оказанных универсальных услугах телефонной связи и отчетов о техническом состоянии телефонных средств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е)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</w:t>
      </w:r>
      <w:r>
        <w:lastRenderedPageBreak/>
        <w:t>необходимой оператору универсального обслуживания для анализа работы телефонных средств коллективного доступа и принятия своевременных мер по устранению выявленных повреждений.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Информация, содержащаяся в системе управления, мониторинга и контроля за техническим состоянием телефонных средств коллективного доступа, хранится не менее 3-х лет.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11. Средства электропитания в течение не менее 24-х часов непрерывной работы телефонных средств коллективного доступа обеспечивают автономное электропитание средств связи, выполняющих функцию систем передачи, с помощью которых организуется линия связи, соединяющая телефонное средство коллективного доступа с узлом связи сети местной телефонной связи.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right"/>
        <w:outlineLvl w:val="0"/>
      </w:pPr>
      <w:r>
        <w:t>Приложение N 2</w:t>
      </w:r>
    </w:p>
    <w:p w:rsidR="00136815" w:rsidRDefault="00136815">
      <w:pPr>
        <w:pStyle w:val="ConsPlusNormal"/>
        <w:jc w:val="right"/>
      </w:pPr>
      <w:r>
        <w:t>к приказу Минкомсвязи России</w:t>
      </w:r>
    </w:p>
    <w:p w:rsidR="00136815" w:rsidRDefault="00136815">
      <w:pPr>
        <w:pStyle w:val="ConsPlusNormal"/>
        <w:jc w:val="right"/>
      </w:pPr>
      <w:r>
        <w:t>от 30.09.2015 N 371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Title"/>
        <w:jc w:val="center"/>
      </w:pPr>
      <w:bookmarkStart w:id="3" w:name="P99"/>
      <w:bookmarkEnd w:id="3"/>
      <w:r>
        <w:t>ТРЕБОВАНИЯ</w:t>
      </w:r>
    </w:p>
    <w:p w:rsidR="00136815" w:rsidRDefault="00136815">
      <w:pPr>
        <w:pStyle w:val="ConsPlusTitle"/>
        <w:jc w:val="center"/>
      </w:pPr>
      <w:r>
        <w:t>К ПОСТРОЕНИЮ, УПРАВЛЕНИЮ, ОРГАНИЗАЦИОННО-ТЕХНИЧЕСКОМУ</w:t>
      </w:r>
    </w:p>
    <w:p w:rsidR="00136815" w:rsidRDefault="00136815">
      <w:pPr>
        <w:pStyle w:val="ConsPlusTitle"/>
        <w:jc w:val="center"/>
      </w:pPr>
      <w:r>
        <w:t>ОБЕСПЕЧЕНИЮ УСТОЙЧИВОГО ФУНКЦИОНИРОВАНИЯ, УСЛОВИЯМ</w:t>
      </w:r>
    </w:p>
    <w:p w:rsidR="00136815" w:rsidRDefault="00136815">
      <w:pPr>
        <w:pStyle w:val="ConsPlusTitle"/>
        <w:jc w:val="center"/>
      </w:pPr>
      <w:r>
        <w:t>ВЗАИМОДЕЙСТВИЯ СЕТИ СВЯЗИ ПРИ ОКАЗАНИИ УНИВЕРСАЛЬНЫХ</w:t>
      </w:r>
    </w:p>
    <w:p w:rsidR="00136815" w:rsidRDefault="00136815">
      <w:pPr>
        <w:pStyle w:val="ConsPlusTitle"/>
        <w:jc w:val="center"/>
      </w:pPr>
      <w:r>
        <w:t>УСЛУГ СВЯЗИ ПО ПЕРЕДАЧЕ ДАННЫХ И ПРЕДОСТАВЛЕНИЮ ДОСТУПА</w:t>
      </w:r>
    </w:p>
    <w:p w:rsidR="00136815" w:rsidRDefault="00136815">
      <w:pPr>
        <w:pStyle w:val="ConsPlusTitle"/>
        <w:jc w:val="center"/>
      </w:pPr>
      <w:r>
        <w:t>К ИНФОРМАЦИОННО-ТЕЛЕКОММУНИКАЦИОННОЙ СЕТИ "ИНТЕРНЕТ"</w:t>
      </w:r>
    </w:p>
    <w:p w:rsidR="00136815" w:rsidRDefault="00136815">
      <w:pPr>
        <w:pStyle w:val="ConsPlusTitle"/>
        <w:jc w:val="center"/>
      </w:pPr>
      <w:r>
        <w:t>С ИСПОЛЬЗОВАНИЕМ СРЕДСТВ КОЛЛЕКТИВНОГО ДОСТУПА</w:t>
      </w:r>
    </w:p>
    <w:p w:rsidR="00136815" w:rsidRDefault="00136815">
      <w:pPr>
        <w:pStyle w:val="ConsPlusTitle"/>
        <w:jc w:val="center"/>
      </w:pPr>
      <w:r>
        <w:t>(БЕЗ ИСПОЛЬЗОВАНИЯ ПОЛЬЗОВАТЕЛЬСКОГО</w:t>
      </w:r>
    </w:p>
    <w:p w:rsidR="00136815" w:rsidRDefault="00136815">
      <w:pPr>
        <w:pStyle w:val="ConsPlusTitle"/>
        <w:jc w:val="center"/>
      </w:pPr>
      <w:r>
        <w:t>ОБОРУДОВАНИЯ АБОНЕНТА)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ind w:firstLine="540"/>
        <w:jc w:val="both"/>
      </w:pPr>
      <w:r>
        <w:t>1. Универсальные услуги связи по передаче данных и предоставлению доступа к информационно-телекоммуникационной сети "Интернет" оказываются оператором универсального обслуживания с использованием персональных компьютеров со средствами ввода и отображения информации (далее - информационные средства коллективного доступа).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Допускается организация информационных средств коллективного доступа с использованием многофункциональных устройств, информационных киосков (инфоматов) или аналогичных устройств.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Сеть связи включает в себя средства связи с подключенными к ним информационными средствами коллективного доступа, оборудование, используемое для учета объема оказываемых услуг связи, систему управления, мониторинга и контроля за техническим состоянием информационных средств коллективного доступа, линии связи, соединяющие средства связи с узлами связи сети (сетей) передачи данных.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2. Информационные средства коллективного доступа устанавливаются в пунктах коллективного доступа (далее - ПКД), размещенных в помещениях, предназначенных для оказания универсальных услуг связи, и позволяют оказывать универсальные услуги связи по передаче данных и предоставлению доступа к информационно-телекоммуникационной сети "Интернет" (без использования пользовательского оборудования абонента).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В ПКД должны быть созданы условия для беспрепятственного доступа к универсальным услугам связи инвалидов.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3. Место расположения информационных средств коллективного доступа в пределах </w:t>
      </w:r>
      <w:r>
        <w:lastRenderedPageBreak/>
        <w:t>населенного пункта определяется оператором универсального обслуживания самостоятельно.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Место расположения информационных средств коллективного доступа должно быть обозначено специальным информационным указателем, включающим следующие сведения: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наименования вида оказываемых универсальных услуг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информация о способах подключения/оплаты универсальной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правила обращения с информационным средством коллективного доступа для пользования универсальной услугой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контактная информация для получения справочно-информационной и технической поддержки;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сведения о тарифах на оказываемую универсальную услугу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4. Информационное средство коллективного доступа должно обеспечивать предоставление пользователю универсальными услугами связи возможностей, определенных в </w:t>
      </w:r>
      <w:hyperlink r:id="rId13" w:history="1">
        <w:r>
          <w:rPr>
            <w:color w:val="0000FF"/>
          </w:rPr>
          <w:t>Правилах</w:t>
        </w:r>
      </w:hyperlink>
      <w:r>
        <w:t xml:space="preserve"> оказания универсальных услуг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Информация о техническом состоянии информационного средства коллективного доступа не реже одного раза в сутки передается в систему управления, мониторинга и контроля за техническим состоянием информационных средств коллективного доступа оператора универсального обслуживания.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5. В качестве средств, позволяющих пользователю воспользоваться универсальными услугами связи на ПКД, могут быть использованы универсальные карты связи, а также коды доступа к универсальным услугам связи. Универсальная карта связи должна соответствовать </w:t>
      </w:r>
      <w:hyperlink w:anchor="P68" w:history="1">
        <w:r>
          <w:rPr>
            <w:color w:val="0000FF"/>
          </w:rPr>
          <w:t>пункту 7</w:t>
        </w:r>
      </w:hyperlink>
      <w:r>
        <w:t xml:space="preserve">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устройств, содержащихся в Приложении N 1 к настоящему приказу.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оплата универсальных услуг связи может осуществляться в форме наличных или безналичных расчетов (в том числе с использованием платежных карт), а также иными способами, установленными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оказания универсальных услуг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Дополнительно могут быть использованы предоплаченные карты со скретч-панелью, под которой размещается код доступа к услугам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6. Система управления, мониторинга и контроля за техническим состоянием информационных средств коллективного доступа обеспечивает следующее: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а) сбор, обработку и хранение информации: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технических параметрах установленных информационных средств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тарифах на универсальные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об объемах принятой и переданной информации;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об объемах оказанных универсальных услуг, выраженных в минутах или мегабайтах, а также количестве установленных соединений (сеансов связи);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lastRenderedPageBreak/>
        <w:t>б) учет универсальных карт связи, разрешенных и запрещенных к использованию в пунктах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в) учет и передачу в информационные средства коллективного доступа действующих ключей аутентификации, используемых для приема универсальных карт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г) защиту от несанкционированного доступа к информации, содержащейся в системе управления, мониторинга и контроля за техническим состоянием информационных средств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д) формирование отчетов об оказанных универсальных услугах связи по передаче данных и предоставлению доступа к информационно-телекоммуникационной сети "Интернет" и отчетов о техническом состоянии информационных средств коллективного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е)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информационных средств коллективного доступа и принятия своевременных мер по устранению выявленных повреждений.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Информация, содержащаяся в системе управления, мониторинга и контроля за техническим состоянием информационных средств коллективного доступа, хранится не менее 3-х лет.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right"/>
        <w:outlineLvl w:val="0"/>
      </w:pPr>
      <w:r>
        <w:t>Приложение N 3</w:t>
      </w:r>
    </w:p>
    <w:p w:rsidR="00136815" w:rsidRDefault="00136815">
      <w:pPr>
        <w:pStyle w:val="ConsPlusNormal"/>
        <w:jc w:val="right"/>
      </w:pPr>
      <w:r>
        <w:t>к приказу Минкомсвязи России</w:t>
      </w:r>
    </w:p>
    <w:p w:rsidR="00136815" w:rsidRDefault="00136815">
      <w:pPr>
        <w:pStyle w:val="ConsPlusNormal"/>
        <w:jc w:val="right"/>
      </w:pPr>
      <w:r>
        <w:t>от 30.09.2015 N 371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Title"/>
        <w:jc w:val="center"/>
      </w:pPr>
      <w:bookmarkStart w:id="4" w:name="P147"/>
      <w:bookmarkEnd w:id="4"/>
      <w:r>
        <w:t>ТРЕБОВАНИЯ</w:t>
      </w:r>
    </w:p>
    <w:p w:rsidR="00136815" w:rsidRDefault="00136815">
      <w:pPr>
        <w:pStyle w:val="ConsPlusTitle"/>
        <w:jc w:val="center"/>
      </w:pPr>
      <w:r>
        <w:t>К ПОСТРОЕНИЮ, УПРАВЛЕНИЮ, ОРГАНИЗАЦИОННО-ТЕХНИЧЕСКОМУ</w:t>
      </w:r>
    </w:p>
    <w:p w:rsidR="00136815" w:rsidRDefault="00136815">
      <w:pPr>
        <w:pStyle w:val="ConsPlusTitle"/>
        <w:jc w:val="center"/>
      </w:pPr>
      <w:r>
        <w:t>ОБЕСПЕЧЕНИЮ УСТОЙЧИВОГО ФУНКЦИОНИРОВАНИЯ, УСЛОВИЯМ</w:t>
      </w:r>
    </w:p>
    <w:p w:rsidR="00136815" w:rsidRDefault="00136815">
      <w:pPr>
        <w:pStyle w:val="ConsPlusTitle"/>
        <w:jc w:val="center"/>
      </w:pPr>
      <w:r>
        <w:t>ВЗАИМОДЕЙСТВИЯ СЕТИ СВЯЗИ ПРИ ОКАЗАНИИ УНИВЕРСАЛЬНЫХ</w:t>
      </w:r>
    </w:p>
    <w:p w:rsidR="00136815" w:rsidRDefault="00136815">
      <w:pPr>
        <w:pStyle w:val="ConsPlusTitle"/>
        <w:jc w:val="center"/>
      </w:pPr>
      <w:r>
        <w:t>УСЛУГ СВЯЗИ ПО ПЕРЕДАЧЕ ДАННЫХ И ПРЕДОСТАВЛЕНИЮ ДОСТУПА</w:t>
      </w:r>
    </w:p>
    <w:p w:rsidR="00136815" w:rsidRDefault="00136815">
      <w:pPr>
        <w:pStyle w:val="ConsPlusTitle"/>
        <w:jc w:val="center"/>
      </w:pPr>
      <w:r>
        <w:t>К ИНФОРМАЦИОННО-ТЕЛЕКОММУНИКАЦИОННОЙ СЕТИ "ИНТЕРНЕТ"</w:t>
      </w:r>
    </w:p>
    <w:p w:rsidR="00136815" w:rsidRDefault="00136815">
      <w:pPr>
        <w:pStyle w:val="ConsPlusTitle"/>
        <w:jc w:val="center"/>
      </w:pPr>
      <w:r>
        <w:t>С ИСПОЛЬЗОВАНИЕМ ТОЧЕК ДОСТУПА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ind w:firstLine="540"/>
        <w:jc w:val="both"/>
      </w:pPr>
      <w:r>
        <w:t>1. Сеть связи включает в себя средства связи и сооружения связи, образующие точку доступа, оборудование, используемое для учета объема оказываемых услуг связи, систему управления, мониторинга и контроля за техническим состоянием точки доступа, линии связи, соединяющие средства связи с узлами связи сети (сетей) передачи данных.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Сеть связи обеспечивает возможность передачи данных для целей оказания универсальных услуг широкополосного доступа к информационно-телекоммуникационной сети "Интернет" для каждого подключенного пользовательского оборудования со скоростью не менее 10 Мбит/с.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2. Точка доступа включает в себя узел сети передачи данных, а также сооружения связи и беспроводное оборудование передачи данных, работающее в диапазоне частот с поддержкой стандартов 802.11b/g/n,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применения оборудования радиодоступа. Часть I. Правила применения оборудования радиодоступа для беспроводной передачи данных в диапазоне от 30 МГц до 66 ГГц, утвержденными приказом Министерства связи и массовых коммуникаций Российской Федерации от 14.09.2010 N 124 (зарегистрирован Министерством юстиции Российской Федерации 12 октября 2010 г., регистрационный N 18695) с изменениями, </w:t>
      </w:r>
      <w:r>
        <w:lastRenderedPageBreak/>
        <w:t>внесенными приказами Министерства связи и массовых коммуникаций Российской Федерации от 23.04.2013 N 93 "О внесении изменений в некоторые приказы Министерства информационных технологий и связи Российской Федерации и приказы Министерства связи и массовых коммуникаций Российской Федерации" (зарегистрирован Министерством юстиции Российской Федерации 14 июня 2013 г., регистрационный N 28788) и от 22.04.2015 N 129 "О внесении изменений в Правила применения оборудования радиодоступа. Часть I. Правила применения оборудования радиодоступа для беспроводной передачи данных в диапазоне от 30 МГц до 66 ГТц, утвержденные приказом Министерства связи и массовых коммуникаций Российской Федерации от 14.09.2010 N 124" (зарегистрирован Министерством юстиции Российской Федерации 14 мая 2015 г., регистрационный N 37274).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3. Антенная система беспроводного оборудования передачи данных, входящего в состав точки доступа, должна быть размещена на высоте не менее 3 метров и не более 10 метров от уровня земли в месте установки точки доступа.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4. Оборудование узла сети передачи данных, входящего в состав точки доступа, обеспечивается портами стандартов 10/100 Base-TX (RJ-45), 1000 Base-X (SFP) в количестве, определяемом оператором универсального обслуживания, при этом оператор универсального обслуживания обеспечивает наличие незадействованных портов узла сети передачи данных и возможность расширения узла сети передачи данных дополнительными портами.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Оператор универсального обслуживания не вправе отказать пользователю в предоставлении доступа к информационно-телекоммуникационной сети "Интернет" с использованием точки доступа по причине отсутствия незадействованных портов на узле сети передачи данных, входящем в состав точки доступа.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Оператор универсального обслуживания не вправе отказать пользователю универсальных услуг связи в заключении договора об оказании универсальных услуг связи по передаче данных и предоставлению доступа к информационно-телекоммуникационной сети "Интернет" с использованием точки доступа по причине отсутствия свободных портов на узле сети передачи данных, входящем в состав точки доступа.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Оператор универсального обслуживания обязан увеличить количество портов на узле сети передачи данных, входящем в состав точки доступа, в случае отсутствия свободных портов на данном узле, позволяющих обеспечить оказание универсальных услуг связи по передаче данных и предоставлению доступа к информационно-телекоммуникационной сети "Интернет" с использованием точки доступа по заявлению пользователя о заключении с оператором универсального обслуживания договора об оказании таких услуг.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5. Точка доступа устанавливается на территории населенного пункта. Место расположения точки доступа в пределах населенного пункта определяется оператором универсального обслуживания самостоятельно.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Место расположения точки доступа должно быть обозначено специальным информационным указателем, включающим следующие сведения: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наименования вида оказываемых универсальных услуг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информация о способах подключения/оплаты универсальной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правила оказания универсальных услуг связи с использованием точек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контактная информация для получения справочно-информационной и технической поддержки;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сведения о тарифах на оказываемую универсальную услугу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lastRenderedPageBreak/>
        <w:t>6. Пользователь использует собственное пользовательское (оконечное) оборудование для получения доступа к универсальным услугам связи с использованием точки доступа.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В качестве средств, позволяющих пользователю воспользоваться универсальными услугами связи с использованием точек доступа, могут быть использованы универсальные карты связи, а также коды доступа к универсальным услугам связи. Универсальная карта связи должна соответствовать </w:t>
      </w:r>
      <w:hyperlink w:anchor="P68" w:history="1">
        <w:r>
          <w:rPr>
            <w:color w:val="0000FF"/>
          </w:rPr>
          <w:t>пункту 7</w:t>
        </w:r>
      </w:hyperlink>
      <w:r>
        <w:t xml:space="preserve">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устройств, содержащихся в Приложении N 1 к настоящему приказу.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оплата универсальных услуг связи может осуществляться в форме наличных или безналичных расчетов (в том числе с использованием платежных карт), а также иными способами, установленными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оказания универсальных услуг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Дополнительно могут быть использованы предоплаченные карты со скретч-панелью, под которой размещается код доступа к услугам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7. Технические и программные средства точки доступа или сети передачи данных, к которой подключена точка доступа, обеспечивают учет объема оказанных универсальных услуг связи.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Единицей объема оказанных универсальных услуг связи является единица тарификации, определенная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тарифов на универсальные услуги связи, утвержденными постановлением Правительства Российской Федерации от 21 апреля 2005 г. N 242 (Собрание законодательства Российской Федерации, 2005, N 17, ст. 1573; N 44, ст. 4561; 2007, N 49, ст. 6174; 2015, N 15, ст. 2273; N 37, ст. 5153).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Данные об объемах оказанных универсальных услуг связи регистрируются в электронных журналах, защищенных от удаления и редактирования данных.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Информация о техническом состоянии точек доступа не реже одного раза в сутки передается в систему управления, мониторинга и контроля за техническим состоянием точек доступа оператора универсального обслуживания.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8. Система управления, мониторинга и контроля за техническим состоянием точек доступа обеспечивает следующее: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а) сбор, обработку и хранение информации: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технических параметрах точек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тарифах на универсальные услуги связи;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об объемах принятой и переданной информации;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об объемах принятой и переданной информации;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об объемах оказанных универсальных услуг, выраженных в минутах или мегабайтах, а также количестве установленных соединений (сеансов связи);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- о монтированных и задействованных портах на узлах сети передачи данных;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б) учет универсальных карт связи, разрешенных и запрещенных к использованию;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 xml:space="preserve">в) защиту от несанкционированного доступа к информации, содержащейся в системе </w:t>
      </w:r>
      <w:r>
        <w:lastRenderedPageBreak/>
        <w:t>управления, мониторинга и контроля за техническим состоянием точек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г) формирование отчетов об оказанных универсальных услугах телефонной связи и отчетов о техническом состоянии точек доступа;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д)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информационных средств коллективного доступа и принятия своевременных мер по устранению выявленных повреждений.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Информация, содержащаяся в системе управления, мониторинга и контроля за техническим состоянием точек доступа, хранится не менее 3-х лет.</w:t>
      </w:r>
    </w:p>
    <w:p w:rsidR="00136815" w:rsidRDefault="00136815">
      <w:pPr>
        <w:pStyle w:val="ConsPlusNormal"/>
        <w:spacing w:before="220"/>
        <w:ind w:firstLine="540"/>
        <w:jc w:val="both"/>
      </w:pPr>
      <w:r>
        <w:t>9. В целях обеспечения бесперебойного функционирования точек доступа и средств связи, выполняющих функции систем передачи, с помощью которых организуется линия связи, соединяющая точки доступа с узлом связи сети передачи данных, используются резервные автономные источники питания, обеспечивающие при нарушении внешнего электроснабжения функционирование указанных средств связи не менее 4 часов при нагрузке, соответствующей часу наибольшей нагрузки.</w:t>
      </w: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jc w:val="both"/>
      </w:pPr>
    </w:p>
    <w:p w:rsidR="00136815" w:rsidRDefault="0013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91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136815"/>
    <w:rsid w:val="00136815"/>
    <w:rsid w:val="001A2E29"/>
    <w:rsid w:val="009C2C53"/>
    <w:rsid w:val="00AF247F"/>
    <w:rsid w:val="00C3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4B034C1ED9AFE3271EDDD5237D1D0EDC3F1A13E5348E6B664A1FE71483C8D9E620A8F5D31B1C1560AB20EB0DA8C034F1946C4BA45F44CZ3X4M" TargetMode="External"/><Relationship Id="rId13" Type="http://schemas.openxmlformats.org/officeDocument/2006/relationships/hyperlink" Target="consultantplus://offline/ref=F884B034C1ED9AFE3271EDDD5237D1D0EDC3F4A1385448E6B664A1FE71483C8D9E620A8F5D31B4C6510AB20EB0DA8C034F1946C4BA45F44CZ3X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84B034C1ED9AFE3271EDDD5237D1D0EDC3F1A13E5348E6B664A1FE71483C8D9E620A8F5D37BF930445B352F6889F014B1944C7A5Z4XEM" TargetMode="External"/><Relationship Id="rId12" Type="http://schemas.openxmlformats.org/officeDocument/2006/relationships/hyperlink" Target="consultantplus://offline/ref=F884B034C1ED9AFE3271EDDD5237D1D0EDC3F4A1385448E6B664A1FE71483C8D9E620A8F5D31B4C6510AB20EB0DA8C034F1946C4BA45F44CZ3X4M" TargetMode="External"/><Relationship Id="rId17" Type="http://schemas.openxmlformats.org/officeDocument/2006/relationships/hyperlink" Target="consultantplus://offline/ref=F884B034C1ED9AFE3271EDDD5237D1D0EDC3F4A1395748E6B664A1FE71483C8D9E620A8F5D31B4C75C0AB20EB0DA8C034F1946C4BA45F44CZ3X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84B034C1ED9AFE3271EDDD5237D1D0EDC3F4A1385448E6B664A1FE71483C8D9E620A8F5D31B4C6510AB20EB0DA8C034F1946C4BA45F44CZ3X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4B034C1ED9AFE3271EDDD5237D1D0EDC3F1A13E5348E6B664A1FE71483C8D9E620A8C5830BF930445B352F6889F014B1944C7A5Z4XEM" TargetMode="External"/><Relationship Id="rId11" Type="http://schemas.openxmlformats.org/officeDocument/2006/relationships/hyperlink" Target="consultantplus://offline/ref=F884B034C1ED9AFE3271EDDD5237D1D0EFC2F2AD3D5448E6B664A1FE71483C8D8C6252835F36AAC7561FE45FF5Z8X6M" TargetMode="External"/><Relationship Id="rId5" Type="http://schemas.openxmlformats.org/officeDocument/2006/relationships/hyperlink" Target="consultantplus://offline/ref=F884B034C1ED9AFE3271EDDD5237D1D0EDC3F1A13E5348E6B664A1FE71483C8D9E620A8F5D31B2C0510AB20EB0DA8C034F1946C4BA45F44CZ3X4M" TargetMode="External"/><Relationship Id="rId15" Type="http://schemas.openxmlformats.org/officeDocument/2006/relationships/hyperlink" Target="consultantplus://offline/ref=F884B034C1ED9AFE3271EDDD5237D1D0EDC2F6AF3B5248E6B664A1FE71483C8D9E620A8F5D31B4C6540AB20EB0DA8C034F1946C4BA45F44CZ3X4M" TargetMode="External"/><Relationship Id="rId10" Type="http://schemas.openxmlformats.org/officeDocument/2006/relationships/hyperlink" Target="consultantplus://offline/ref=F884B034C1ED9AFE3271EDDD5237D1D0EFC2F2AC3B5048E6B664A1FE71483C8D8C6252835F36AAC7561FE45FF5Z8X6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84B034C1ED9AFE3271EDDD5237D1D0EDC3F4A1385448E6B664A1FE71483C8D9E620A8F5D31B4C6510AB20EB0DA8C034F1946C4BA45F44CZ3X4M" TargetMode="External"/><Relationship Id="rId14" Type="http://schemas.openxmlformats.org/officeDocument/2006/relationships/hyperlink" Target="consultantplus://offline/ref=F884B034C1ED9AFE3271EDDD5237D1D0EDC3F4A1385448E6B664A1FE71483C8D9E620A8F5D31B4C6510AB20EB0DA8C034F1946C4BA45F44CZ3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4205</Words>
  <Characters>23969</Characters>
  <Application>Microsoft Office Word</Application>
  <DocSecurity>0</DocSecurity>
  <Lines>199</Lines>
  <Paragraphs>56</Paragraphs>
  <ScaleCrop>false</ScaleCrop>
  <Company>Управление Роскомнадзора по СКФО</Company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2019-03-27T12:23:00Z</dcterms:created>
  <dcterms:modified xsi:type="dcterms:W3CDTF">2019-03-27T12:23:00Z</dcterms:modified>
</cp:coreProperties>
</file>